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Miranda </w:t>
      </w:r>
      <w:r>
        <w:rPr>
          <w:rFonts w:ascii="Arial" w:hAnsi="Arial" w:cs="Arial"/>
          <w:color w:val="000000"/>
          <w:sz w:val="14"/>
          <w:szCs w:val="14"/>
        </w:rPr>
        <w:t xml:space="preserve">v. </w:t>
      </w:r>
      <w:r>
        <w:rPr>
          <w:rFonts w:ascii="Arial" w:hAnsi="Arial" w:cs="Arial"/>
          <w:i/>
          <w:iCs/>
          <w:color w:val="000000"/>
          <w:sz w:val="14"/>
          <w:szCs w:val="14"/>
        </w:rPr>
        <w:t>Arizona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© 2002 Street Law Inc.,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Supreme Court Historical Society.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Visit </w:t>
      </w:r>
      <w:r>
        <w:rPr>
          <w:rFonts w:ascii="Arial" w:hAnsi="Arial" w:cs="Arial"/>
          <w:color w:val="0000FF"/>
          <w:sz w:val="14"/>
          <w:szCs w:val="14"/>
        </w:rPr>
        <w:t>www.landmarkcases.org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12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Miranda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v.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Arizona </w:t>
      </w:r>
      <w:r>
        <w:rPr>
          <w:rFonts w:ascii="Arial" w:hAnsi="Arial" w:cs="Arial"/>
          <w:b/>
          <w:bCs/>
          <w:color w:val="000000"/>
          <w:sz w:val="28"/>
          <w:szCs w:val="28"/>
        </w:rPr>
        <w:t>(1966)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Key Excerpts from the Majority Opinion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case was decided 5 to 4. Chief Justice Warren delivered the opinion of the Court.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cases before us raise questions which go to the roots of our concepts of American criminal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jurisprudence: the restraints society must observe consistent with the Federal Constitution in prosecuting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individuals for crime. More specifically, we deal with the admissibility of statements obtained from an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individual who is subjected to custodial police interrogation and the necessity for procedures which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assure that the individual is accorded his privilege under the Fifth Amendment to the Constitution not to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compelled to incriminate himself….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 holding will be spelled out with some specificity in the pages which follow but briefly stated it is this: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prosecution may not use statements, whether exculpatory or inculpatory, stemming from custodial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interrogation of the defendant unless it demonstrates the use of procedural safeguards effective to secure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privilege against self-incrimination. By custodial interrogation, we mean questioning initiated by law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enforcement officers after a person has been taken into custody…. As for the procedural safeguards to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employed . . . the following measures are required. Prior to any questioning, the person must be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warned that he has a right to remain silent, that any statement he does make may be used as evidence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against him, and that he has a right to the presence of an attorney, either retained or appointed. The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defendant may waive effectuation of these rights, provided the waiver is made voluntarily, knowingly and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intelligently. If, however, he indicates in any manner and at any stage of the process that he wishes to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 with an attorney before speaking there can be no questioning. Likewise, if the individual is alone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indicates in any manner that he does not wish to be interrogated, the police may not question him.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mere fact that he may have answered some questions or volunteered some statements on his own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does not deprive him of the right to refrain from answering any further inquiries until he has consulted with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attorney and thereafter consents to be questioned….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Fifth Amendment privilege is so fundamental to our system of constitutional rule and the expedient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giving an adequate warning as to the availability of the privilege so simple, we will not pause to inquire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individual cases whether the defendant was aware of his rights without a warning being given….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warning of the right to remain silent must be accompanied by the explanation that anything said can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will be used against the individual in court. This warning is needed in order to make him aware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only of the privilege, but also of the consequences of forgoing it. . . [T]his warning may serve to make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individual more acutely aware that he is faced with a phase of the adversary system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 is not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presence of persons acting solely in his interest….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. . [W]e hold that an individual held for interrogation must be clearly informed that he has the right to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 with a lawyer and to have the lawyer with him during interrogation under the system for protecting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privilege we delineate today. . . . No amount of circumstantial evidence that the person may have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been aware of this right will suffice to stand in its stead: Only through such a warning is there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ascertainable assurance that the accused was aware of this right.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an individual indicates that he wishes the assistance of counsel before any interrogation occurs,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authorities cannot rationally ignore or deny his request on the basis that the individual does not have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cannot afford a retained attorney. . . . The privilege against self-incrimination secured by the Constitution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applies to all individuals. The need for counsel in order to protect the privilege exists for the indigent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well as the affluent….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principles announced today deal with the protection which must be given to the privilege against self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incrimination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 the individual is first subjected to police interrogation while in custody at the station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otherwise deprived of his freedom of action in any significant way. It is at this point that our adversary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system of criminal proceedings commences, distinguishing itself at the outset from the </w:t>
      </w:r>
      <w:r>
        <w:rPr>
          <w:rFonts w:ascii="Arial" w:hAnsi="Arial" w:cs="Arial"/>
          <w:color w:val="000000"/>
          <w:sz w:val="20"/>
          <w:szCs w:val="20"/>
        </w:rPr>
        <w:lastRenderedPageBreak/>
        <w:t>inquisitorial system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recognized in some countries. Under the system of warnings we delineate today or under any 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system which may be devised and found effective, the safeguards to be erected about the privilege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come into play at this point….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. . [W]e hold that when an individual is taken into custody or otherwise deprived of his freedom by the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authorities in any significant way and is subjected to questioning, the privilege against self-incrimination is</w:t>
      </w:r>
    </w:p>
    <w:p w:rsidR="008A3B50" w:rsidRDefault="0025418F" w:rsidP="002541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jeopardized….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Miranda </w:t>
      </w:r>
      <w:r>
        <w:rPr>
          <w:rFonts w:ascii="Arial" w:hAnsi="Arial" w:cs="Arial"/>
          <w:color w:val="000000"/>
          <w:sz w:val="14"/>
          <w:szCs w:val="14"/>
        </w:rPr>
        <w:t xml:space="preserve">v. </w:t>
      </w:r>
      <w:r>
        <w:rPr>
          <w:rFonts w:ascii="Arial" w:hAnsi="Arial" w:cs="Arial"/>
          <w:i/>
          <w:iCs/>
          <w:color w:val="000000"/>
          <w:sz w:val="14"/>
          <w:szCs w:val="14"/>
        </w:rPr>
        <w:t>Arizona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© 2002 Street Law Inc.,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Supreme Court Historical Society.</w:t>
      </w:r>
    </w:p>
    <w:p w:rsidR="0025418F" w:rsidRDefault="0025418F" w:rsidP="0025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Visit </w:t>
      </w:r>
      <w:r>
        <w:rPr>
          <w:rFonts w:ascii="Arial" w:hAnsi="Arial" w:cs="Arial"/>
          <w:color w:val="0000FF"/>
          <w:sz w:val="14"/>
          <w:szCs w:val="14"/>
        </w:rPr>
        <w:t>www.landmarkcases.org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13</w:t>
      </w:r>
    </w:p>
    <w:p w:rsidR="0025418F" w:rsidRDefault="0025418F" w:rsidP="0025418F">
      <w:pPr>
        <w:rPr>
          <w:rFonts w:ascii="Arial" w:hAnsi="Arial" w:cs="Arial"/>
          <w:color w:val="000000"/>
          <w:sz w:val="20"/>
          <w:szCs w:val="20"/>
        </w:rPr>
      </w:pPr>
    </w:p>
    <w:p w:rsidR="00B14256" w:rsidRPr="00B14256" w:rsidRDefault="00B14256" w:rsidP="00B1425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1425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Miranda </w:t>
      </w:r>
      <w:r w:rsidRPr="00B14256"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 w:rsidRPr="00B1425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Arizona </w:t>
      </w:r>
      <w:r w:rsidRPr="00B14256">
        <w:rPr>
          <w:rFonts w:ascii="Arial" w:hAnsi="Arial" w:cs="Arial"/>
          <w:b/>
          <w:bCs/>
          <w:color w:val="000000"/>
          <w:sz w:val="20"/>
          <w:szCs w:val="20"/>
        </w:rPr>
        <w:t>(1966)</w:t>
      </w:r>
    </w:p>
    <w:p w:rsidR="00B14256" w:rsidRPr="00B14256" w:rsidRDefault="00B14256" w:rsidP="00B1425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14256">
        <w:rPr>
          <w:rFonts w:ascii="Arial" w:hAnsi="Arial" w:cs="Arial"/>
          <w:b/>
          <w:bCs/>
          <w:color w:val="000000"/>
          <w:sz w:val="20"/>
          <w:szCs w:val="20"/>
        </w:rPr>
        <w:t>Key Excerpts from the Majority Opinion</w:t>
      </w:r>
    </w:p>
    <w:p w:rsidR="00B14256" w:rsidRPr="00B14256" w:rsidRDefault="00B14256" w:rsidP="00B1425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14256">
        <w:rPr>
          <w:rFonts w:ascii="Arial" w:hAnsi="Arial" w:cs="Arial"/>
          <w:b/>
          <w:bCs/>
          <w:color w:val="000000"/>
          <w:sz w:val="20"/>
          <w:szCs w:val="20"/>
        </w:rPr>
        <w:t>Questions to Consider:</w:t>
      </w: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1. What fundamental questions does Chief Justice Warren say this case raises about the American</w:t>
      </w:r>
    </w:p>
    <w:p w:rsid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justice system?</w:t>
      </w: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</w:p>
    <w:p w:rsid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2. What does he mean by "custodial interrogation?</w:t>
      </w:r>
      <w:proofErr w:type="gramStart"/>
      <w:r w:rsidRPr="00B14256">
        <w:rPr>
          <w:rFonts w:ascii="Arial" w:hAnsi="Arial" w:cs="Arial"/>
          <w:color w:val="000000"/>
          <w:sz w:val="20"/>
          <w:szCs w:val="20"/>
        </w:rPr>
        <w:t>”</w:t>
      </w:r>
      <w:proofErr w:type="gramEnd"/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3. Why does he say we should not rely on asking individuals whether they are aware of their rights</w:t>
      </w:r>
    </w:p>
    <w:p w:rsid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without a warning bein</w:t>
      </w:r>
      <w:bookmarkStart w:id="0" w:name="_GoBack"/>
      <w:bookmarkEnd w:id="0"/>
      <w:r w:rsidRPr="00B14256">
        <w:rPr>
          <w:rFonts w:ascii="Arial" w:hAnsi="Arial" w:cs="Arial"/>
          <w:color w:val="000000"/>
          <w:sz w:val="20"/>
          <w:szCs w:val="20"/>
        </w:rPr>
        <w:t>g given?</w:t>
      </w: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4. Do you agree that when a person is taken into custody and subjected to questioning, the privilege</w:t>
      </w:r>
    </w:p>
    <w:p w:rsidR="00B14256" w:rsidRP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against self-incrimination is jeopardized unless explicit warnings are given about rights? Why or why</w:t>
      </w:r>
    </w:p>
    <w:p w:rsidR="00B14256" w:rsidRDefault="00B14256" w:rsidP="00B14256">
      <w:pPr>
        <w:rPr>
          <w:rFonts w:ascii="Arial" w:hAnsi="Arial" w:cs="Arial"/>
          <w:color w:val="000000"/>
          <w:sz w:val="20"/>
          <w:szCs w:val="20"/>
        </w:rPr>
      </w:pPr>
      <w:r w:rsidRPr="00B14256">
        <w:rPr>
          <w:rFonts w:ascii="Arial" w:hAnsi="Arial" w:cs="Arial"/>
          <w:color w:val="000000"/>
          <w:sz w:val="20"/>
          <w:szCs w:val="20"/>
        </w:rPr>
        <w:t>not? Should there be any exceptions to this rule? Explain.</w:t>
      </w:r>
    </w:p>
    <w:sectPr w:rsidR="00B1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8F"/>
    <w:rsid w:val="0025418F"/>
    <w:rsid w:val="008A3B50"/>
    <w:rsid w:val="00B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ACFE-7A74-491E-AFA8-66EE16D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2</cp:revision>
  <dcterms:created xsi:type="dcterms:W3CDTF">2019-09-22T22:56:00Z</dcterms:created>
  <dcterms:modified xsi:type="dcterms:W3CDTF">2019-09-22T23:06:00Z</dcterms:modified>
</cp:coreProperties>
</file>