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Miranda </w:t>
      </w:r>
      <w:r>
        <w:rPr>
          <w:rFonts w:ascii="Arial" w:hAnsi="Arial" w:cs="Arial"/>
          <w:b/>
          <w:bCs/>
          <w:sz w:val="28"/>
          <w:szCs w:val="28"/>
        </w:rPr>
        <w:t xml:space="preserve">v.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Arizona </w:t>
      </w:r>
      <w:r>
        <w:rPr>
          <w:rFonts w:ascii="Arial" w:hAnsi="Arial" w:cs="Arial"/>
          <w:b/>
          <w:bCs/>
          <w:sz w:val="28"/>
          <w:szCs w:val="28"/>
        </w:rPr>
        <w:t>(1966)</w:t>
      </w:r>
    </w:p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Background Summary</w:t>
      </w:r>
    </w:p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Ernesto Miranda was a poor Mexican immigrant living in Phoenix, Arizona, in 1963. Miranda was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arrested after a crime victim identified him in a police lineup. Miranda was charged with rape and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kidnapping, and interrogated for two hours while in police custody. The police officers questioning him did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 inform him of his Fifth Amendment right against self-incrimination or of his Sixth Amendment right to</w:t>
      </w:r>
      <w:r>
        <w:rPr>
          <w:rFonts w:ascii="Arial" w:hAnsi="Arial" w:cs="Arial"/>
          <w:sz w:val="20"/>
          <w:szCs w:val="20"/>
        </w:rPr>
        <w:t xml:space="preserve"> the assistance of an attorney. </w:t>
      </w:r>
      <w:r>
        <w:rPr>
          <w:rFonts w:ascii="Arial" w:hAnsi="Arial" w:cs="Arial"/>
          <w:sz w:val="20"/>
          <w:szCs w:val="20"/>
        </w:rPr>
        <w:t>As a result of the interrogation, he confessed in writing to the crimes with which he was charged. His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written statement also included an acknowledgement that he was aware of his right against </w:t>
      </w:r>
      <w:proofErr w:type="spellStart"/>
      <w:r>
        <w:rPr>
          <w:rFonts w:ascii="Arial" w:hAnsi="Arial" w:cs="Arial"/>
          <w:sz w:val="20"/>
          <w:szCs w:val="20"/>
        </w:rPr>
        <w:t>self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incrimination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During his trial, the prosecution used his confession to </w:t>
      </w:r>
      <w:r>
        <w:rPr>
          <w:rFonts w:ascii="Arial" w:hAnsi="Arial" w:cs="Arial"/>
          <w:sz w:val="20"/>
          <w:szCs w:val="20"/>
        </w:rPr>
        <w:t xml:space="preserve">obtain a conviction, and he </w:t>
      </w:r>
      <w:proofErr w:type="gramStart"/>
      <w:r>
        <w:rPr>
          <w:rFonts w:ascii="Arial" w:hAnsi="Arial" w:cs="Arial"/>
          <w:sz w:val="20"/>
          <w:szCs w:val="20"/>
        </w:rPr>
        <w:t xml:space="preserve">was  </w:t>
      </w:r>
      <w:r>
        <w:rPr>
          <w:rFonts w:ascii="Arial" w:hAnsi="Arial" w:cs="Arial"/>
          <w:sz w:val="20"/>
          <w:szCs w:val="20"/>
        </w:rPr>
        <w:t>sentenced</w:t>
      </w:r>
      <w:proofErr w:type="gramEnd"/>
      <w:r>
        <w:rPr>
          <w:rFonts w:ascii="Arial" w:hAnsi="Arial" w:cs="Arial"/>
          <w:sz w:val="20"/>
          <w:szCs w:val="20"/>
        </w:rPr>
        <w:t xml:space="preserve"> to 20 to 30 years in prison on each count, the</w:t>
      </w:r>
      <w:r>
        <w:rPr>
          <w:rFonts w:ascii="Arial" w:hAnsi="Arial" w:cs="Arial"/>
          <w:sz w:val="20"/>
          <w:szCs w:val="20"/>
        </w:rPr>
        <w:t xml:space="preserve"> sentences to run concurrently.  </w:t>
      </w:r>
      <w:r>
        <w:rPr>
          <w:rFonts w:ascii="Arial" w:hAnsi="Arial" w:cs="Arial"/>
          <w:sz w:val="20"/>
          <w:szCs w:val="20"/>
        </w:rPr>
        <w:t>Miranda appealed his case to the Arizona Supreme Court. His attorney argued that his confession should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have been excluded from trial because he had not been informed of his rights, nor had an attorney been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present during his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nterrogation. The police officers involved admitted that they had not given Miranda any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explanation of his rights. They argued, however, that because Miranda had been convicted of a crime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past, he must have been aware of his rights. The Arizona Supreme Court denied his appeal and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upheld his conviction.</w:t>
      </w:r>
    </w:p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case comes down to this fundamental question: what is the role of the police in protecting the rights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accused, as guaranteed by the Fifth and Sixth Amendments to the Constitution? The Fifth</w:t>
      </w:r>
    </w:p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Amendment states that no person "shall be compelled in any criminal case to be a witness </w:t>
      </w:r>
      <w:proofErr w:type="gramStart"/>
      <w:r>
        <w:rPr>
          <w:rFonts w:ascii="Arial" w:hAnsi="Arial" w:cs="Arial"/>
          <w:sz w:val="20"/>
          <w:szCs w:val="20"/>
        </w:rPr>
        <w:t>against</w:t>
      </w:r>
      <w:r>
        <w:rPr>
          <w:rFonts w:ascii="Arial" w:hAnsi="Arial" w:cs="Arial"/>
          <w:sz w:val="20"/>
          <w:szCs w:val="20"/>
        </w:rPr>
        <w:t xml:space="preserve">  hi</w:t>
      </w:r>
      <w:r>
        <w:rPr>
          <w:rFonts w:ascii="Arial" w:hAnsi="Arial" w:cs="Arial"/>
          <w:sz w:val="20"/>
          <w:szCs w:val="20"/>
        </w:rPr>
        <w:t>mself</w:t>
      </w:r>
      <w:proofErr w:type="gramEnd"/>
      <w:r>
        <w:rPr>
          <w:rFonts w:ascii="Arial" w:hAnsi="Arial" w:cs="Arial"/>
          <w:sz w:val="20"/>
          <w:szCs w:val="20"/>
        </w:rPr>
        <w:t>…." The Sixth Amendment states that, "In all criminal prosecutions, the accused shall enjoy the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right . . . to have the assistance of counsel for his defense." The United States Supreme Court had made</w:t>
      </w:r>
    </w:p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previous</w:t>
      </w:r>
      <w:proofErr w:type="gramEnd"/>
      <w:r>
        <w:rPr>
          <w:rFonts w:ascii="Arial" w:hAnsi="Arial" w:cs="Arial"/>
          <w:sz w:val="20"/>
          <w:szCs w:val="20"/>
        </w:rPr>
        <w:t xml:space="preserve"> attempts to deal with these issues. In </w:t>
      </w:r>
      <w:r>
        <w:rPr>
          <w:rFonts w:ascii="Arial" w:hAnsi="Arial" w:cs="Arial"/>
          <w:i/>
          <w:iCs/>
          <w:sz w:val="20"/>
          <w:szCs w:val="20"/>
        </w:rPr>
        <w:t xml:space="preserve">Brown </w:t>
      </w:r>
      <w:r>
        <w:rPr>
          <w:rFonts w:ascii="Arial" w:hAnsi="Arial" w:cs="Arial"/>
          <w:sz w:val="20"/>
          <w:szCs w:val="20"/>
        </w:rPr>
        <w:t xml:space="preserve">v. </w:t>
      </w:r>
      <w:r>
        <w:rPr>
          <w:rFonts w:ascii="Arial" w:hAnsi="Arial" w:cs="Arial"/>
          <w:i/>
          <w:iCs/>
          <w:sz w:val="20"/>
          <w:szCs w:val="20"/>
        </w:rPr>
        <w:t xml:space="preserve">Mississippi </w:t>
      </w:r>
      <w:r>
        <w:rPr>
          <w:rFonts w:ascii="Arial" w:hAnsi="Arial" w:cs="Arial"/>
          <w:sz w:val="20"/>
          <w:szCs w:val="20"/>
        </w:rPr>
        <w:t>(1936), the Court had ruled that the</w:t>
      </w:r>
    </w:p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Fifth Amendment protected individuals from being forced to confess. In </w:t>
      </w:r>
      <w:r>
        <w:rPr>
          <w:rFonts w:ascii="Arial" w:hAnsi="Arial" w:cs="Arial"/>
          <w:i/>
          <w:iCs/>
          <w:sz w:val="20"/>
          <w:szCs w:val="20"/>
        </w:rPr>
        <w:t xml:space="preserve">Gideon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 xml:space="preserve">. Wainwright </w:t>
      </w:r>
      <w:r>
        <w:rPr>
          <w:rFonts w:ascii="Arial" w:hAnsi="Arial" w:cs="Arial"/>
          <w:sz w:val="20"/>
          <w:szCs w:val="20"/>
        </w:rPr>
        <w:t>(1963), the</w:t>
      </w:r>
    </w:p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Court held that persons accused of felonies have a fundamental right to an attorney, even if they cannot</w:t>
      </w:r>
    </w:p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afford</w:t>
      </w:r>
      <w:proofErr w:type="gramEnd"/>
      <w:r>
        <w:rPr>
          <w:rFonts w:ascii="Arial" w:hAnsi="Arial" w:cs="Arial"/>
          <w:sz w:val="20"/>
          <w:szCs w:val="20"/>
        </w:rPr>
        <w:t xml:space="preserve"> one. In 1964, after Miranda's arrest, the Court ruled that when an accused person is denied the</w:t>
      </w:r>
    </w:p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right</w:t>
      </w:r>
      <w:proofErr w:type="gramEnd"/>
      <w:r>
        <w:rPr>
          <w:rFonts w:ascii="Arial" w:hAnsi="Arial" w:cs="Arial"/>
          <w:sz w:val="20"/>
          <w:szCs w:val="20"/>
        </w:rPr>
        <w:t xml:space="preserve"> to consult with his attorney, his or her Sixth Amendment right to counsel is violated (</w:t>
      </w:r>
      <w:r>
        <w:rPr>
          <w:rFonts w:ascii="Arial" w:hAnsi="Arial" w:cs="Arial"/>
          <w:i/>
          <w:iCs/>
          <w:sz w:val="20"/>
          <w:szCs w:val="20"/>
        </w:rPr>
        <w:t xml:space="preserve">Escobedo </w:t>
      </w:r>
      <w:r>
        <w:rPr>
          <w:rFonts w:ascii="Arial" w:hAnsi="Arial" w:cs="Arial"/>
          <w:sz w:val="20"/>
          <w:szCs w:val="20"/>
        </w:rPr>
        <w:t>v.</w:t>
      </w:r>
    </w:p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Illinois</w:t>
      </w:r>
      <w:r>
        <w:rPr>
          <w:rFonts w:ascii="Arial" w:hAnsi="Arial" w:cs="Arial"/>
          <w:sz w:val="20"/>
          <w:szCs w:val="20"/>
        </w:rPr>
        <w:t>). But do the police have an obligation to ensure that the accused person is aware of these rights?</w:t>
      </w:r>
    </w:p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so, at what point in the criminal justice process must the defendant learn of these rights?</w:t>
      </w:r>
    </w:p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1965, the United States Supreme Court agreed to hear Miranda's case. At the same time, the Court</w:t>
      </w:r>
    </w:p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agreed</w:t>
      </w:r>
      <w:proofErr w:type="gramEnd"/>
      <w:r>
        <w:rPr>
          <w:rFonts w:ascii="Arial" w:hAnsi="Arial" w:cs="Arial"/>
          <w:sz w:val="20"/>
          <w:szCs w:val="20"/>
        </w:rPr>
        <w:t xml:space="preserve"> to hear three other similar cases, </w:t>
      </w:r>
      <w:bookmarkStart w:id="0" w:name="_GoBack"/>
      <w:proofErr w:type="spellStart"/>
      <w:r>
        <w:rPr>
          <w:rFonts w:ascii="Arial" w:hAnsi="Arial" w:cs="Arial"/>
          <w:i/>
          <w:iCs/>
          <w:sz w:val="20"/>
          <w:szCs w:val="20"/>
        </w:rPr>
        <w:t>Vignera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 xml:space="preserve">v. </w:t>
      </w:r>
      <w:r>
        <w:rPr>
          <w:rFonts w:ascii="Arial" w:hAnsi="Arial" w:cs="Arial"/>
          <w:i/>
          <w:iCs/>
          <w:sz w:val="20"/>
          <w:szCs w:val="20"/>
        </w:rPr>
        <w:t>New York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Westover </w:t>
      </w:r>
      <w:r>
        <w:rPr>
          <w:rFonts w:ascii="Arial" w:hAnsi="Arial" w:cs="Arial"/>
          <w:sz w:val="20"/>
          <w:szCs w:val="20"/>
        </w:rPr>
        <w:t xml:space="preserve">v. </w:t>
      </w:r>
      <w:r>
        <w:rPr>
          <w:rFonts w:ascii="Arial" w:hAnsi="Arial" w:cs="Arial"/>
          <w:i/>
          <w:iCs/>
          <w:sz w:val="20"/>
          <w:szCs w:val="20"/>
        </w:rPr>
        <w:t>United States</w:t>
      </w:r>
      <w:r>
        <w:rPr>
          <w:rFonts w:ascii="Arial" w:hAnsi="Arial" w:cs="Arial"/>
          <w:sz w:val="20"/>
          <w:szCs w:val="20"/>
        </w:rPr>
        <w:t xml:space="preserve">, and </w:t>
      </w:r>
      <w:r>
        <w:rPr>
          <w:rFonts w:ascii="Arial" w:hAnsi="Arial" w:cs="Arial"/>
          <w:i/>
          <w:iCs/>
          <w:sz w:val="20"/>
          <w:szCs w:val="20"/>
        </w:rPr>
        <w:t>California</w:t>
      </w:r>
    </w:p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</w:t>
      </w:r>
      <w:r>
        <w:rPr>
          <w:rFonts w:ascii="Arial" w:hAnsi="Arial" w:cs="Arial"/>
          <w:i/>
          <w:iCs/>
          <w:sz w:val="20"/>
          <w:szCs w:val="20"/>
        </w:rPr>
        <w:t>Stewart</w:t>
      </w:r>
      <w:r>
        <w:rPr>
          <w:rFonts w:ascii="Arial" w:hAnsi="Arial" w:cs="Arial"/>
          <w:sz w:val="20"/>
          <w:szCs w:val="20"/>
        </w:rPr>
        <w:t xml:space="preserve">, and the cases were combined. Since </w:t>
      </w:r>
      <w:r>
        <w:rPr>
          <w:rFonts w:ascii="Arial" w:hAnsi="Arial" w:cs="Arial"/>
          <w:i/>
          <w:iCs/>
          <w:sz w:val="20"/>
          <w:szCs w:val="20"/>
        </w:rPr>
        <w:t xml:space="preserve">Miranda </w:t>
      </w:r>
      <w:r>
        <w:rPr>
          <w:rFonts w:ascii="Arial" w:hAnsi="Arial" w:cs="Arial"/>
          <w:sz w:val="20"/>
          <w:szCs w:val="20"/>
        </w:rPr>
        <w:t>was listed first among the four cases</w:t>
      </w:r>
    </w:p>
    <w:p w:rsidR="00F602D2" w:rsidRDefault="00F602D2" w:rsidP="00F6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considered</w:t>
      </w:r>
      <w:proofErr w:type="gramEnd"/>
      <w:r>
        <w:rPr>
          <w:rFonts w:ascii="Arial" w:hAnsi="Arial" w:cs="Arial"/>
          <w:sz w:val="20"/>
          <w:szCs w:val="20"/>
        </w:rPr>
        <w:t xml:space="preserve"> by the Court, the decision came to be known by that name. The decision in </w:t>
      </w:r>
      <w:r>
        <w:rPr>
          <w:rFonts w:ascii="Arial" w:hAnsi="Arial" w:cs="Arial"/>
          <w:i/>
          <w:iCs/>
          <w:sz w:val="20"/>
          <w:szCs w:val="20"/>
        </w:rPr>
        <w:t xml:space="preserve">Miranda </w:t>
      </w:r>
      <w:r>
        <w:rPr>
          <w:rFonts w:ascii="Arial" w:hAnsi="Arial" w:cs="Arial"/>
          <w:sz w:val="20"/>
          <w:szCs w:val="20"/>
        </w:rPr>
        <w:t>v.</w:t>
      </w:r>
    </w:p>
    <w:p w:rsidR="00710F33" w:rsidRDefault="00F602D2" w:rsidP="00F602D2">
      <w:r>
        <w:rPr>
          <w:rFonts w:ascii="Arial" w:hAnsi="Arial" w:cs="Arial"/>
          <w:i/>
          <w:iCs/>
          <w:sz w:val="20"/>
          <w:szCs w:val="20"/>
        </w:rPr>
        <w:t xml:space="preserve">Arizona </w:t>
      </w:r>
      <w:r>
        <w:rPr>
          <w:rFonts w:ascii="Arial" w:hAnsi="Arial" w:cs="Arial"/>
          <w:sz w:val="20"/>
          <w:szCs w:val="20"/>
        </w:rPr>
        <w:t>was handed down in 1966.</w:t>
      </w:r>
    </w:p>
    <w:sectPr w:rsidR="0071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D2"/>
    <w:rsid w:val="002657A6"/>
    <w:rsid w:val="00A616F1"/>
    <w:rsid w:val="00F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2ADB"/>
  <w15:chartTrackingRefBased/>
  <w15:docId w15:val="{A5A77BDC-C07E-4A41-A6EE-C16D2C16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1</cp:revision>
  <dcterms:created xsi:type="dcterms:W3CDTF">2019-09-20T14:48:00Z</dcterms:created>
  <dcterms:modified xsi:type="dcterms:W3CDTF">2019-09-20T14:51:00Z</dcterms:modified>
</cp:coreProperties>
</file>